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8F3B3" w14:textId="77777777" w:rsidR="00BB5325" w:rsidRPr="00E87605" w:rsidRDefault="00BB5325" w:rsidP="00BB5325">
      <w:pPr>
        <w:spacing w:after="120" w:line="240" w:lineRule="auto"/>
        <w:jc w:val="center"/>
        <w:rPr>
          <w:rFonts w:ascii="Arial Narrow" w:hAnsi="Arial Narrow" w:cs="Arial"/>
          <w:b/>
          <w:noProof/>
          <w:lang w:val="en-GB"/>
        </w:rPr>
      </w:pPr>
      <w:bookmarkStart w:id="0" w:name="_Hlk29888094"/>
      <w:r w:rsidRPr="00E87605">
        <w:rPr>
          <w:rFonts w:ascii="Arial Narrow" w:hAnsi="Arial Narrow" w:cs="Arial"/>
          <w:b/>
          <w:noProof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B06C10" w:rsidRPr="00B06C10" w14:paraId="1601A63F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bookmarkEnd w:id="0"/>
          <w:p w14:paraId="3C773458" w14:textId="77777777" w:rsidR="00B06C10" w:rsidRPr="00B06C10" w:rsidRDefault="00B06C10" w:rsidP="001C05A7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441FE0D8" w14:textId="77777777" w:rsidR="00B06C10" w:rsidRPr="00B06C10" w:rsidRDefault="00B06C10" w:rsidP="001C05A7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lang w:val="en-GB"/>
              </w:rPr>
              <w:t>Commanding and managing interventions</w:t>
            </w:r>
          </w:p>
        </w:tc>
      </w:tr>
      <w:tr w:rsidR="00B06C10" w:rsidRPr="00B06C10" w14:paraId="25C232DC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8538851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7A16591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lang w:val="en-GB"/>
              </w:rPr>
              <w:t>Specialist professional graduate study Occupational Safety</w:t>
            </w:r>
          </w:p>
        </w:tc>
      </w:tr>
      <w:tr w:rsidR="00B06C10" w:rsidRPr="00B06C10" w14:paraId="1FD9B4B1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625EAD4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>Status of a course</w:t>
            </w:r>
          </w:p>
        </w:tc>
        <w:tc>
          <w:tcPr>
            <w:tcW w:w="6430" w:type="dxa"/>
            <w:gridSpan w:val="5"/>
            <w:vAlign w:val="center"/>
          </w:tcPr>
          <w:p w14:paraId="17AE96BE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i/>
                <w:color w:val="FF0000"/>
                <w:lang w:val="en-GB"/>
              </w:rPr>
            </w:pPr>
            <w:r w:rsidRPr="00B06C10">
              <w:rPr>
                <w:rFonts w:ascii="Arial Narrow" w:hAnsi="Arial Narrow" w:cs="Arial"/>
                <w:lang w:val="en-GB"/>
              </w:rPr>
              <w:t xml:space="preserve">Obligatory </w:t>
            </w:r>
          </w:p>
        </w:tc>
      </w:tr>
      <w:tr w:rsidR="00B06C10" w:rsidRPr="00B06C10" w14:paraId="495D5EF7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DF5B094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55842C81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lang w:val="en-GB"/>
              </w:rPr>
            </w:pPr>
            <w:r w:rsidRPr="00B06C10">
              <w:rPr>
                <w:rFonts w:ascii="Arial Narrow" w:hAnsi="Arial Narrow" w:cs="Arial"/>
                <w:lang w:val="en-GB"/>
              </w:rPr>
              <w:t>2.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AAC2BC0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lang w:val="en-GB"/>
              </w:rPr>
              <w:t>Semester</w:t>
            </w:r>
          </w:p>
        </w:tc>
        <w:tc>
          <w:tcPr>
            <w:tcW w:w="667" w:type="dxa"/>
            <w:vAlign w:val="center"/>
          </w:tcPr>
          <w:p w14:paraId="4A174B40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lang w:val="en-GB"/>
              </w:rPr>
            </w:pPr>
            <w:r w:rsidRPr="00B06C10">
              <w:rPr>
                <w:rFonts w:ascii="Arial Narrow" w:hAnsi="Arial Narrow"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AAEC2AB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lang w:val="en-GB"/>
              </w:rPr>
              <w:t>ECTS credits</w:t>
            </w:r>
          </w:p>
        </w:tc>
        <w:tc>
          <w:tcPr>
            <w:tcW w:w="825" w:type="dxa"/>
            <w:vAlign w:val="center"/>
          </w:tcPr>
          <w:p w14:paraId="1D6F13F5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lang w:val="en-GB"/>
              </w:rPr>
            </w:pPr>
            <w:r w:rsidRPr="00B06C10">
              <w:rPr>
                <w:rFonts w:ascii="Arial Narrow" w:hAnsi="Arial Narrow" w:cs="Arial"/>
                <w:lang w:val="en-GB"/>
              </w:rPr>
              <w:t>5</w:t>
            </w:r>
          </w:p>
        </w:tc>
      </w:tr>
      <w:tr w:rsidR="00B06C10" w:rsidRPr="00B06C10" w14:paraId="2F43BF89" w14:textId="77777777" w:rsidTr="001C05A7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E111614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 xml:space="preserve">Teaching plan </w:t>
            </w:r>
          </w:p>
          <w:p w14:paraId="1088C9C5" w14:textId="77777777" w:rsidR="00B06C10" w:rsidRPr="00B06C10" w:rsidRDefault="00B06C10" w:rsidP="001C05A7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B06C10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 xml:space="preserve">(L + E + S+ </w:t>
            </w:r>
            <w:proofErr w:type="spellStart"/>
            <w:r w:rsidRPr="00B06C10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B06C10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430" w:type="dxa"/>
            <w:gridSpan w:val="5"/>
            <w:vAlign w:val="center"/>
          </w:tcPr>
          <w:p w14:paraId="6AB14F80" w14:textId="77777777" w:rsidR="00B06C10" w:rsidRPr="00B06C10" w:rsidRDefault="00B06C10" w:rsidP="001C05A7">
            <w:pPr>
              <w:spacing w:after="0" w:line="240" w:lineRule="auto"/>
              <w:jc w:val="center"/>
              <w:rPr>
                <w:rFonts w:ascii="Arial Narrow" w:hAnsi="Arial Narrow" w:cs="Arial"/>
                <w:lang w:val="en-GB"/>
              </w:rPr>
            </w:pPr>
            <w:r w:rsidRPr="00B06C10">
              <w:rPr>
                <w:rFonts w:ascii="Arial Narrow" w:hAnsi="Arial Narrow" w:cs="Arial"/>
                <w:lang w:val="en-GB"/>
              </w:rPr>
              <w:t>2+1+0+0</w:t>
            </w:r>
          </w:p>
        </w:tc>
      </w:tr>
      <w:tr w:rsidR="00B06C10" w:rsidRPr="00B06C10" w14:paraId="624267A7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517C309" w14:textId="77777777" w:rsidR="00B06C10" w:rsidRPr="00B06C10" w:rsidRDefault="00B06C10" w:rsidP="001C05A7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000000"/>
                <w:lang w:val="en-GB"/>
              </w:rPr>
            </w:pPr>
            <w:r w:rsidRPr="00B06C10">
              <w:rPr>
                <w:rFonts w:ascii="Arial Narrow" w:hAnsi="Arial Narrow"/>
                <w:b/>
                <w:color w:val="000000"/>
                <w:lang w:val="en-GB"/>
              </w:rPr>
              <w:t>Goals of a course</w:t>
            </w:r>
          </w:p>
          <w:p w14:paraId="0BA20910" w14:textId="77777777" w:rsidR="00B06C10" w:rsidRPr="00B06C10" w:rsidRDefault="00B06C10" w:rsidP="001C05A7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</w:p>
        </w:tc>
      </w:tr>
      <w:tr w:rsidR="00B06C10" w:rsidRPr="00B06C10" w14:paraId="1F24EB50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88F5E64" w14:textId="77777777" w:rsidR="00B06C10" w:rsidRPr="00B06C10" w:rsidRDefault="00B06C10" w:rsidP="001C05A7">
            <w:p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B06C10">
              <w:rPr>
                <w:rFonts w:ascii="Arial Narrow" w:hAnsi="Arial Narrow"/>
                <w:lang w:val="en-GB"/>
              </w:rPr>
              <w:t>The objective of the course is to familiarize students with the fire command system, fire drill and fire intervention plans.</w:t>
            </w:r>
          </w:p>
        </w:tc>
      </w:tr>
      <w:tr w:rsidR="00B06C10" w:rsidRPr="00B06C10" w14:paraId="4C4642D1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6640C64" w14:textId="77777777" w:rsidR="00B06C10" w:rsidRPr="00B06C10" w:rsidRDefault="00B06C10" w:rsidP="001C05A7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000000"/>
                <w:lang w:val="en-GB"/>
              </w:rPr>
            </w:pPr>
            <w:r w:rsidRPr="00B06C10">
              <w:rPr>
                <w:rFonts w:ascii="Arial Narrow" w:hAnsi="Arial Narrow"/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73C383D" w14:textId="77777777" w:rsidR="00B06C10" w:rsidRPr="00B06C10" w:rsidRDefault="00B06C10" w:rsidP="001C05A7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000000"/>
                <w:lang w:val="en-GB"/>
              </w:rPr>
            </w:pPr>
          </w:p>
        </w:tc>
      </w:tr>
      <w:tr w:rsidR="00B06C10" w:rsidRPr="00B06C10" w14:paraId="0A222EDE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E7E30C8" w14:textId="77777777" w:rsidR="00B06C10" w:rsidRPr="00B06C10" w:rsidRDefault="00B06C10" w:rsidP="001C05A7">
            <w:p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B06C10">
              <w:rPr>
                <w:rFonts w:ascii="Arial Narrow" w:hAnsi="Arial Narrow"/>
                <w:lang w:val="en-GB"/>
              </w:rPr>
              <w:t>No conditions</w:t>
            </w:r>
          </w:p>
        </w:tc>
      </w:tr>
      <w:tr w:rsidR="00B06C10" w:rsidRPr="00B06C10" w14:paraId="5183263C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C6CB5B1" w14:textId="77777777" w:rsidR="00B06C10" w:rsidRPr="00B06C10" w:rsidRDefault="00B06C10" w:rsidP="001C05A7">
            <w:pPr>
              <w:spacing w:after="0" w:line="240" w:lineRule="auto"/>
              <w:contextualSpacing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B06C10">
              <w:rPr>
                <w:rFonts w:ascii="Arial Narrow" w:hAnsi="Arial Narrow"/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B06C10" w:rsidRPr="00B06C10" w14:paraId="45C58F44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F5EAAF5" w14:textId="77777777" w:rsidR="00B06C10" w:rsidRPr="00B06C10" w:rsidRDefault="00B06C10" w:rsidP="00B06C1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B06C10">
              <w:rPr>
                <w:rFonts w:ascii="Arial Narrow" w:hAnsi="Arial Narrow"/>
                <w:lang w:val="en-GB"/>
              </w:rPr>
              <w:t xml:space="preserve">Evaluate the levels of the command system in </w:t>
            </w:r>
            <w:proofErr w:type="gramStart"/>
            <w:r w:rsidRPr="00B06C10">
              <w:rPr>
                <w:rFonts w:ascii="Arial Narrow" w:hAnsi="Arial Narrow"/>
                <w:lang w:val="en-GB"/>
              </w:rPr>
              <w:t>firefighting</w:t>
            </w:r>
            <w:proofErr w:type="gramEnd"/>
          </w:p>
          <w:p w14:paraId="5DD146B4" w14:textId="77777777" w:rsidR="00B06C10" w:rsidRPr="00B06C10" w:rsidRDefault="00B06C10" w:rsidP="00B06C1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B06C10">
              <w:rPr>
                <w:rFonts w:ascii="Arial Narrow" w:hAnsi="Arial Narrow"/>
                <w:lang w:val="en-GB"/>
              </w:rPr>
              <w:t xml:space="preserve">Manage interventions at the operational and tactical </w:t>
            </w:r>
            <w:proofErr w:type="gramStart"/>
            <w:r w:rsidRPr="00B06C10">
              <w:rPr>
                <w:rFonts w:ascii="Arial Narrow" w:hAnsi="Arial Narrow"/>
                <w:lang w:val="en-GB"/>
              </w:rPr>
              <w:t>level</w:t>
            </w:r>
            <w:proofErr w:type="gramEnd"/>
          </w:p>
          <w:p w14:paraId="40924F17" w14:textId="77777777" w:rsidR="00B06C10" w:rsidRPr="00B06C10" w:rsidRDefault="00B06C10" w:rsidP="00B06C1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B06C10">
              <w:rPr>
                <w:rFonts w:ascii="Arial Narrow" w:hAnsi="Arial Narrow"/>
                <w:lang w:val="en-GB"/>
              </w:rPr>
              <w:t xml:space="preserve">Argue the selection of operational procedures with regard to firefighting </w:t>
            </w:r>
            <w:proofErr w:type="gramStart"/>
            <w:r w:rsidRPr="00B06C10">
              <w:rPr>
                <w:rFonts w:ascii="Arial Narrow" w:hAnsi="Arial Narrow"/>
                <w:lang w:val="en-GB"/>
              </w:rPr>
              <w:t>plans</w:t>
            </w:r>
            <w:proofErr w:type="gramEnd"/>
          </w:p>
          <w:p w14:paraId="47F10E2E" w14:textId="77777777" w:rsidR="00B06C10" w:rsidRPr="00B06C10" w:rsidRDefault="00B06C10" w:rsidP="00B06C1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B06C10">
              <w:rPr>
                <w:rFonts w:ascii="Arial Narrow" w:hAnsi="Arial Narrow"/>
                <w:lang w:val="en-GB"/>
              </w:rPr>
              <w:t xml:space="preserve">Create standard operating procedures for firefighting </w:t>
            </w:r>
            <w:proofErr w:type="gramStart"/>
            <w:r w:rsidRPr="00B06C10">
              <w:rPr>
                <w:rFonts w:ascii="Arial Narrow" w:hAnsi="Arial Narrow"/>
                <w:lang w:val="en-GB"/>
              </w:rPr>
              <w:t>interventions</w:t>
            </w:r>
            <w:proofErr w:type="gramEnd"/>
          </w:p>
          <w:p w14:paraId="05B9D8FA" w14:textId="77777777" w:rsidR="00B06C10" w:rsidRPr="00B06C10" w:rsidRDefault="00B06C10" w:rsidP="00B06C1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B06C10">
              <w:rPr>
                <w:rFonts w:ascii="Arial Narrow" w:hAnsi="Arial Narrow"/>
                <w:lang w:val="en-GB"/>
              </w:rPr>
              <w:t>Manage human and material resources</w:t>
            </w:r>
          </w:p>
        </w:tc>
      </w:tr>
      <w:tr w:rsidR="00B06C10" w:rsidRPr="00B06C10" w14:paraId="2FAA0652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15F021" w14:textId="77777777" w:rsidR="00B06C10" w:rsidRPr="00B06C10" w:rsidRDefault="00B06C10" w:rsidP="001C05A7">
            <w:pPr>
              <w:spacing w:after="0" w:line="240" w:lineRule="auto"/>
              <w:jc w:val="both"/>
              <w:rPr>
                <w:rFonts w:ascii="Arial Narrow" w:hAnsi="Arial Narrow"/>
                <w:b/>
                <w:color w:val="000000"/>
                <w:lang w:val="en-GB"/>
              </w:rPr>
            </w:pPr>
            <w:r w:rsidRPr="00B06C10">
              <w:rPr>
                <w:rFonts w:ascii="Arial Narrow" w:hAnsi="Arial Narrow"/>
                <w:b/>
                <w:color w:val="000000"/>
                <w:lang w:val="en-GB"/>
              </w:rPr>
              <w:t>Content of a course</w:t>
            </w:r>
          </w:p>
        </w:tc>
      </w:tr>
      <w:tr w:rsidR="00B06C10" w:rsidRPr="00B06C10" w14:paraId="16E4B306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8C13395" w14:textId="77777777" w:rsidR="00B06C10" w:rsidRPr="00B06C10" w:rsidRDefault="00B06C10" w:rsidP="001C0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IDFont+F1"/>
                <w:lang w:val="en-GB"/>
              </w:rPr>
            </w:pPr>
            <w:r w:rsidRPr="00B06C10">
              <w:rPr>
                <w:rFonts w:ascii="Arial Narrow" w:hAnsi="Arial Narrow" w:cs="CIDFont+F1"/>
                <w:lang w:val="en-GB"/>
              </w:rPr>
              <w:t xml:space="preserve">Command system in </w:t>
            </w:r>
            <w:proofErr w:type="spellStart"/>
            <w:r w:rsidRPr="00B06C10">
              <w:rPr>
                <w:rFonts w:ascii="Arial Narrow" w:hAnsi="Arial Narrow" w:cs="CIDFont+F1"/>
                <w:lang w:val="en-GB"/>
              </w:rPr>
              <w:t>fire fighting</w:t>
            </w:r>
            <w:proofErr w:type="spellEnd"/>
            <w:r w:rsidRPr="00B06C10">
              <w:rPr>
                <w:rFonts w:ascii="Arial Narrow" w:hAnsi="Arial Narrow" w:cs="CIDFont+F1"/>
                <w:lang w:val="en-GB"/>
              </w:rPr>
              <w:t xml:space="preserve">. Authorisations and responsibilities of a commander. Operative, </w:t>
            </w:r>
            <w:proofErr w:type="gramStart"/>
            <w:r w:rsidRPr="00B06C10">
              <w:rPr>
                <w:rFonts w:ascii="Arial Narrow" w:hAnsi="Arial Narrow" w:cs="CIDFont+F1"/>
                <w:lang w:val="en-GB"/>
              </w:rPr>
              <w:t>tactical</w:t>
            </w:r>
            <w:proofErr w:type="gramEnd"/>
            <w:r w:rsidRPr="00B06C10">
              <w:rPr>
                <w:rFonts w:ascii="Arial Narrow" w:hAnsi="Arial Narrow" w:cs="CIDFont+F1"/>
                <w:lang w:val="en-GB"/>
              </w:rPr>
              <w:t xml:space="preserve"> and strategic level of management. Communications and system of relationships, evaluation of situation, planning, standard operative procedures, practicing, tactic performances of </w:t>
            </w:r>
            <w:proofErr w:type="spellStart"/>
            <w:r w:rsidRPr="00B06C10">
              <w:rPr>
                <w:rFonts w:ascii="Arial Narrow" w:hAnsi="Arial Narrow" w:cs="CIDFont+F1"/>
                <w:lang w:val="en-GB"/>
              </w:rPr>
              <w:t>fire fighting</w:t>
            </w:r>
            <w:proofErr w:type="spellEnd"/>
            <w:r w:rsidRPr="00B06C10">
              <w:rPr>
                <w:rFonts w:ascii="Arial Narrow" w:hAnsi="Arial Narrow" w:cs="CIDFont+F1"/>
                <w:lang w:val="en-GB"/>
              </w:rPr>
              <w:t xml:space="preserve"> formations. Management and making decisions in crisis, organisation of logistic support, coordination with other interventional and public services. Managing human and material resources, development of team and teamwork, public relations. </w:t>
            </w:r>
          </w:p>
        </w:tc>
      </w:tr>
      <w:tr w:rsidR="00B06C10" w:rsidRPr="00B06C10" w14:paraId="52E2FA6F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EB4A320" w14:textId="77777777" w:rsidR="00B06C10" w:rsidRPr="00B06C10" w:rsidRDefault="00B06C10" w:rsidP="001C05A7">
            <w:pPr>
              <w:spacing w:after="0" w:line="240" w:lineRule="auto"/>
              <w:jc w:val="both"/>
              <w:rPr>
                <w:rFonts w:ascii="Arial Narrow" w:hAnsi="Arial Narrow"/>
                <w:b/>
                <w:vanish/>
                <w:lang w:val="en-GB"/>
              </w:rPr>
            </w:pPr>
          </w:p>
        </w:tc>
      </w:tr>
    </w:tbl>
    <w:p w14:paraId="296B9C59" w14:textId="77777777" w:rsidR="00BB5325" w:rsidRDefault="00BB5325" w:rsidP="00BB5325">
      <w:pPr>
        <w:rPr>
          <w:rFonts w:ascii="Arial Narrow" w:hAnsi="Arial Narrow" w:cs="Arial"/>
          <w:i/>
          <w:color w:val="FF0000"/>
        </w:rPr>
      </w:pPr>
    </w:p>
    <w:p w14:paraId="402FA4E3" w14:textId="77777777" w:rsidR="00BA3377" w:rsidRDefault="00BA3377"/>
    <w:sectPr w:rsidR="00BA3377" w:rsidSect="00E87605">
      <w:pgSz w:w="11906" w:h="16838"/>
      <w:pgMar w:top="1418" w:right="1418" w:bottom="1418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DA0CF8"/>
    <w:multiLevelType w:val="hybridMultilevel"/>
    <w:tmpl w:val="8B3C28C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93568A"/>
    <w:multiLevelType w:val="hybridMultilevel"/>
    <w:tmpl w:val="776CDE5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2716454">
    <w:abstractNumId w:val="1"/>
  </w:num>
  <w:num w:numId="2" w16cid:durableId="848718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25"/>
    <w:rsid w:val="00AA5554"/>
    <w:rsid w:val="00B06C10"/>
    <w:rsid w:val="00BA3377"/>
    <w:rsid w:val="00BB5325"/>
    <w:rsid w:val="00F4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2600"/>
  <w15:chartTrackingRefBased/>
  <w15:docId w15:val="{549524B8-41B6-46C1-9B3A-9E57989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B532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Ribarić Čučković</dc:creator>
  <cp:keywords/>
  <dc:description/>
  <cp:lastModifiedBy>Eda Ribarić Čučković</cp:lastModifiedBy>
  <cp:revision>2</cp:revision>
  <dcterms:created xsi:type="dcterms:W3CDTF">2023-06-26T21:19:00Z</dcterms:created>
  <dcterms:modified xsi:type="dcterms:W3CDTF">2023-06-26T21:19:00Z</dcterms:modified>
</cp:coreProperties>
</file>