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926E0D" w:rsidRDefault="000014DA" w:rsidP="00926E0D">
      <w:pPr>
        <w:spacing w:after="0" w:line="240" w:lineRule="auto"/>
        <w:contextualSpacing/>
        <w:jc w:val="center"/>
        <w:rPr>
          <w:rFonts w:cs="Arial"/>
          <w:b/>
          <w:lang w:val="en-GB"/>
        </w:rPr>
      </w:pPr>
      <w:bookmarkStart w:id="0" w:name="_Hlk29888094"/>
      <w:r w:rsidRPr="00926E0D">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52"/>
        <w:gridCol w:w="479"/>
        <w:gridCol w:w="1965"/>
        <w:gridCol w:w="667"/>
        <w:gridCol w:w="2413"/>
        <w:gridCol w:w="812"/>
      </w:tblGrid>
      <w:tr w:rsidR="00D311E5" w:rsidRPr="00926E0D" w14:paraId="74E05F87" w14:textId="77777777" w:rsidTr="00300D71">
        <w:trPr>
          <w:trHeight w:val="405"/>
        </w:trPr>
        <w:tc>
          <w:tcPr>
            <w:tcW w:w="2752" w:type="dxa"/>
            <w:shd w:val="clear" w:color="auto" w:fill="D9D9D9" w:themeFill="background1" w:themeFillShade="D9"/>
            <w:vAlign w:val="center"/>
          </w:tcPr>
          <w:p w14:paraId="77772442" w14:textId="77777777" w:rsidR="00D311E5" w:rsidRPr="00926E0D" w:rsidRDefault="000014DA" w:rsidP="00926E0D">
            <w:pPr>
              <w:keepNext/>
              <w:spacing w:after="0" w:line="240" w:lineRule="auto"/>
              <w:contextualSpacing/>
              <w:outlineLvl w:val="2"/>
              <w:rPr>
                <w:rFonts w:cs="Arial"/>
                <w:b/>
                <w:bCs/>
                <w:color w:val="000000"/>
                <w:lang w:val="en-GB"/>
              </w:rPr>
            </w:pPr>
            <w:r w:rsidRPr="00926E0D">
              <w:rPr>
                <w:rFonts w:cs="Arial"/>
                <w:b/>
                <w:bCs/>
                <w:lang w:val="en-GB"/>
              </w:rPr>
              <w:t>Title of a course</w:t>
            </w:r>
          </w:p>
        </w:tc>
        <w:tc>
          <w:tcPr>
            <w:tcW w:w="6336" w:type="dxa"/>
            <w:gridSpan w:val="5"/>
            <w:shd w:val="clear" w:color="auto" w:fill="auto"/>
            <w:vAlign w:val="center"/>
          </w:tcPr>
          <w:p w14:paraId="30B6EE4A" w14:textId="549DB139" w:rsidR="00D311E5" w:rsidRPr="00926E0D" w:rsidRDefault="006A446B" w:rsidP="00926E0D">
            <w:pPr>
              <w:keepNext/>
              <w:spacing w:after="0" w:line="240" w:lineRule="auto"/>
              <w:contextualSpacing/>
              <w:outlineLvl w:val="2"/>
              <w:rPr>
                <w:rFonts w:cs="Arial"/>
                <w:b/>
                <w:bCs/>
                <w:lang w:val="en-GB"/>
              </w:rPr>
            </w:pPr>
            <w:r w:rsidRPr="00926E0D">
              <w:rPr>
                <w:rFonts w:cs="Arial"/>
                <w:b/>
                <w:bCs/>
                <w:lang w:val="en-GB"/>
              </w:rPr>
              <w:t>Basics of the law and legislation of safety</w:t>
            </w:r>
          </w:p>
        </w:tc>
      </w:tr>
      <w:tr w:rsidR="00D311E5" w:rsidRPr="00926E0D" w14:paraId="18CA003A" w14:textId="77777777" w:rsidTr="00300D71">
        <w:trPr>
          <w:trHeight w:val="405"/>
        </w:trPr>
        <w:tc>
          <w:tcPr>
            <w:tcW w:w="2752" w:type="dxa"/>
            <w:shd w:val="clear" w:color="auto" w:fill="D9D9D9" w:themeFill="background1" w:themeFillShade="D9"/>
            <w:vAlign w:val="center"/>
          </w:tcPr>
          <w:p w14:paraId="40B8AB17" w14:textId="77777777" w:rsidR="00D311E5" w:rsidRPr="00926E0D" w:rsidRDefault="000014DA" w:rsidP="00926E0D">
            <w:pPr>
              <w:spacing w:after="0" w:line="240" w:lineRule="auto"/>
              <w:contextualSpacing/>
              <w:rPr>
                <w:rFonts w:cs="Arial"/>
                <w:b/>
                <w:bCs/>
                <w:lang w:val="en-GB"/>
              </w:rPr>
            </w:pPr>
            <w:r w:rsidRPr="00926E0D">
              <w:rPr>
                <w:rFonts w:cs="Arial"/>
                <w:b/>
                <w:bCs/>
                <w:color w:val="000000"/>
                <w:lang w:val="en-GB"/>
              </w:rPr>
              <w:t xml:space="preserve">Study programme </w:t>
            </w:r>
          </w:p>
        </w:tc>
        <w:tc>
          <w:tcPr>
            <w:tcW w:w="6336" w:type="dxa"/>
            <w:gridSpan w:val="5"/>
            <w:vAlign w:val="center"/>
          </w:tcPr>
          <w:p w14:paraId="078873AA" w14:textId="5257F26F" w:rsidR="00D311E5" w:rsidRPr="00926E0D" w:rsidRDefault="00182321" w:rsidP="00926E0D">
            <w:pPr>
              <w:spacing w:after="0" w:line="240" w:lineRule="auto"/>
              <w:contextualSpacing/>
              <w:rPr>
                <w:rFonts w:cs="Arial"/>
                <w:b/>
                <w:lang w:val="en-GB"/>
              </w:rPr>
            </w:pPr>
            <w:r w:rsidRPr="00926E0D">
              <w:rPr>
                <w:rFonts w:cs="Arial"/>
                <w:b/>
                <w:lang w:val="en-GB"/>
              </w:rPr>
              <w:t>Professional undergraduate study Occupational Safety</w:t>
            </w:r>
          </w:p>
        </w:tc>
      </w:tr>
      <w:tr w:rsidR="00D311E5" w:rsidRPr="00926E0D" w14:paraId="46140137" w14:textId="77777777" w:rsidTr="00300D71">
        <w:trPr>
          <w:trHeight w:val="405"/>
        </w:trPr>
        <w:tc>
          <w:tcPr>
            <w:tcW w:w="2752" w:type="dxa"/>
            <w:shd w:val="clear" w:color="auto" w:fill="D9D9D9" w:themeFill="background1" w:themeFillShade="D9"/>
            <w:vAlign w:val="center"/>
          </w:tcPr>
          <w:p w14:paraId="18775EC8" w14:textId="77777777" w:rsidR="00D311E5" w:rsidRPr="00926E0D" w:rsidRDefault="00D311E5" w:rsidP="00926E0D">
            <w:pPr>
              <w:spacing w:after="0" w:line="240" w:lineRule="auto"/>
              <w:contextualSpacing/>
              <w:rPr>
                <w:rFonts w:cs="Arial"/>
                <w:b/>
                <w:bCs/>
                <w:lang w:val="en-GB"/>
              </w:rPr>
            </w:pPr>
            <w:r w:rsidRPr="00926E0D">
              <w:rPr>
                <w:rFonts w:cs="Arial"/>
                <w:b/>
                <w:bCs/>
                <w:color w:val="000000"/>
                <w:lang w:val="en-GB"/>
              </w:rPr>
              <w:t xml:space="preserve">Status </w:t>
            </w:r>
            <w:r w:rsidR="000014DA" w:rsidRPr="00926E0D">
              <w:rPr>
                <w:rFonts w:cs="Arial"/>
                <w:b/>
                <w:bCs/>
                <w:color w:val="000000"/>
                <w:lang w:val="en-GB"/>
              </w:rPr>
              <w:t>of a course</w:t>
            </w:r>
          </w:p>
        </w:tc>
        <w:tc>
          <w:tcPr>
            <w:tcW w:w="6336" w:type="dxa"/>
            <w:gridSpan w:val="5"/>
            <w:vAlign w:val="center"/>
          </w:tcPr>
          <w:p w14:paraId="367BCA7D" w14:textId="0C3698F7" w:rsidR="00D311E5" w:rsidRPr="00926E0D" w:rsidRDefault="00A05989" w:rsidP="00926E0D">
            <w:pPr>
              <w:spacing w:after="0" w:line="240" w:lineRule="auto"/>
              <w:contextualSpacing/>
              <w:rPr>
                <w:rFonts w:cs="Arial"/>
                <w:i/>
                <w:color w:val="FF0000"/>
                <w:lang w:val="en-GB"/>
              </w:rPr>
            </w:pPr>
            <w:r w:rsidRPr="00926E0D">
              <w:rPr>
                <w:rFonts w:cs="Arial"/>
                <w:lang w:val="en-GB"/>
              </w:rPr>
              <w:t>O</w:t>
            </w:r>
            <w:r w:rsidR="000014DA" w:rsidRPr="00926E0D">
              <w:rPr>
                <w:rFonts w:cs="Arial"/>
                <w:lang w:val="en-GB"/>
              </w:rPr>
              <w:t>bligatory</w:t>
            </w:r>
            <w:r w:rsidR="009C73D5" w:rsidRPr="00926E0D">
              <w:rPr>
                <w:rFonts w:cs="Arial"/>
                <w:lang w:val="en-GB"/>
              </w:rPr>
              <w:t xml:space="preserve"> </w:t>
            </w:r>
          </w:p>
        </w:tc>
      </w:tr>
      <w:tr w:rsidR="00D311E5" w:rsidRPr="00926E0D" w14:paraId="22050C6E" w14:textId="77777777" w:rsidTr="00300D71">
        <w:trPr>
          <w:trHeight w:val="405"/>
        </w:trPr>
        <w:tc>
          <w:tcPr>
            <w:tcW w:w="2752" w:type="dxa"/>
            <w:shd w:val="clear" w:color="auto" w:fill="D9D9D9" w:themeFill="background1" w:themeFillShade="D9"/>
            <w:vAlign w:val="center"/>
          </w:tcPr>
          <w:p w14:paraId="087F72BA" w14:textId="77777777" w:rsidR="00D311E5" w:rsidRPr="00926E0D" w:rsidRDefault="000014DA" w:rsidP="00926E0D">
            <w:pPr>
              <w:spacing w:after="0" w:line="240" w:lineRule="auto"/>
              <w:contextualSpacing/>
              <w:rPr>
                <w:rFonts w:cs="Arial"/>
                <w:b/>
                <w:bCs/>
                <w:color w:val="000000"/>
                <w:lang w:val="en-GB"/>
              </w:rPr>
            </w:pPr>
            <w:r w:rsidRPr="00926E0D">
              <w:rPr>
                <w:rFonts w:cs="Arial"/>
                <w:b/>
                <w:bCs/>
                <w:color w:val="000000"/>
                <w:lang w:val="en-GB"/>
              </w:rPr>
              <w:t>Year of study</w:t>
            </w:r>
          </w:p>
        </w:tc>
        <w:tc>
          <w:tcPr>
            <w:tcW w:w="479" w:type="dxa"/>
            <w:vAlign w:val="center"/>
          </w:tcPr>
          <w:p w14:paraId="1C60F196" w14:textId="2515DF5C" w:rsidR="00D311E5" w:rsidRPr="00926E0D" w:rsidRDefault="00523D4B" w:rsidP="00926E0D">
            <w:pPr>
              <w:spacing w:after="0" w:line="240" w:lineRule="auto"/>
              <w:contextualSpacing/>
              <w:rPr>
                <w:rFonts w:cs="Arial"/>
                <w:lang w:val="en-GB"/>
              </w:rPr>
            </w:pPr>
            <w:r w:rsidRPr="00926E0D">
              <w:rPr>
                <w:rFonts w:cs="Arial"/>
                <w:lang w:val="en-GB"/>
              </w:rPr>
              <w:t>1</w:t>
            </w:r>
            <w:r w:rsidR="00E93806" w:rsidRPr="00926E0D">
              <w:rPr>
                <w:rFonts w:cs="Arial"/>
                <w:lang w:val="en-GB"/>
              </w:rPr>
              <w:t>.</w:t>
            </w:r>
          </w:p>
        </w:tc>
        <w:tc>
          <w:tcPr>
            <w:tcW w:w="1965" w:type="dxa"/>
            <w:shd w:val="clear" w:color="auto" w:fill="D9D9D9" w:themeFill="background1" w:themeFillShade="D9"/>
            <w:vAlign w:val="center"/>
          </w:tcPr>
          <w:p w14:paraId="4E20BAD1" w14:textId="77777777" w:rsidR="00D311E5" w:rsidRPr="00926E0D" w:rsidRDefault="00D311E5" w:rsidP="00926E0D">
            <w:pPr>
              <w:spacing w:after="0" w:line="240" w:lineRule="auto"/>
              <w:contextualSpacing/>
              <w:rPr>
                <w:rFonts w:cs="Arial"/>
                <w:b/>
                <w:bCs/>
                <w:lang w:val="en-GB"/>
              </w:rPr>
            </w:pPr>
            <w:r w:rsidRPr="00926E0D">
              <w:rPr>
                <w:rFonts w:cs="Arial"/>
                <w:b/>
                <w:bCs/>
                <w:lang w:val="en-GB"/>
              </w:rPr>
              <w:t>Semest</w:t>
            </w:r>
            <w:r w:rsidR="000014DA" w:rsidRPr="00926E0D">
              <w:rPr>
                <w:rFonts w:cs="Arial"/>
                <w:b/>
                <w:bCs/>
                <w:lang w:val="en-GB"/>
              </w:rPr>
              <w:t>er</w:t>
            </w:r>
          </w:p>
        </w:tc>
        <w:tc>
          <w:tcPr>
            <w:tcW w:w="667" w:type="dxa"/>
            <w:vAlign w:val="center"/>
          </w:tcPr>
          <w:p w14:paraId="58ABCE06" w14:textId="57B311BB" w:rsidR="00D311E5" w:rsidRPr="00926E0D" w:rsidRDefault="00300D71" w:rsidP="00926E0D">
            <w:pPr>
              <w:spacing w:after="0" w:line="240" w:lineRule="auto"/>
              <w:contextualSpacing/>
              <w:rPr>
                <w:rFonts w:cs="Arial"/>
                <w:lang w:val="en-GB"/>
              </w:rPr>
            </w:pPr>
            <w:r>
              <w:rPr>
                <w:rFonts w:cs="Arial"/>
                <w:lang w:val="en-GB"/>
              </w:rPr>
              <w:t>S</w:t>
            </w:r>
          </w:p>
        </w:tc>
        <w:tc>
          <w:tcPr>
            <w:tcW w:w="2413" w:type="dxa"/>
            <w:shd w:val="clear" w:color="auto" w:fill="D9D9D9" w:themeFill="background1" w:themeFillShade="D9"/>
            <w:vAlign w:val="center"/>
          </w:tcPr>
          <w:p w14:paraId="520B9DCF" w14:textId="77777777" w:rsidR="00D311E5" w:rsidRPr="00926E0D" w:rsidRDefault="00D311E5" w:rsidP="00926E0D">
            <w:pPr>
              <w:spacing w:after="0" w:line="240" w:lineRule="auto"/>
              <w:contextualSpacing/>
              <w:rPr>
                <w:rFonts w:cs="Arial"/>
                <w:b/>
                <w:bCs/>
                <w:lang w:val="en-GB"/>
              </w:rPr>
            </w:pPr>
            <w:r w:rsidRPr="00926E0D">
              <w:rPr>
                <w:rFonts w:cs="Arial"/>
                <w:b/>
                <w:bCs/>
                <w:lang w:val="en-GB"/>
              </w:rPr>
              <w:t xml:space="preserve">ECTS </w:t>
            </w:r>
            <w:r w:rsidR="000014DA" w:rsidRPr="00926E0D">
              <w:rPr>
                <w:rFonts w:cs="Arial"/>
                <w:b/>
                <w:bCs/>
                <w:lang w:val="en-GB"/>
              </w:rPr>
              <w:t>credits</w:t>
            </w:r>
          </w:p>
        </w:tc>
        <w:tc>
          <w:tcPr>
            <w:tcW w:w="812" w:type="dxa"/>
            <w:vAlign w:val="center"/>
          </w:tcPr>
          <w:p w14:paraId="22B2020A" w14:textId="569497E7" w:rsidR="00D311E5" w:rsidRPr="00926E0D" w:rsidRDefault="00EA0750" w:rsidP="00926E0D">
            <w:pPr>
              <w:spacing w:after="0" w:line="240" w:lineRule="auto"/>
              <w:contextualSpacing/>
              <w:rPr>
                <w:rFonts w:cs="Arial"/>
                <w:lang w:val="en-GB"/>
              </w:rPr>
            </w:pPr>
            <w:r w:rsidRPr="00926E0D">
              <w:rPr>
                <w:rFonts w:cs="Arial"/>
                <w:lang w:val="en-GB"/>
              </w:rPr>
              <w:t>5</w:t>
            </w:r>
          </w:p>
        </w:tc>
      </w:tr>
      <w:tr w:rsidR="00D311E5" w:rsidRPr="00926E0D" w14:paraId="05DFCECD" w14:textId="77777777" w:rsidTr="00300D71">
        <w:trPr>
          <w:trHeight w:val="566"/>
        </w:trPr>
        <w:tc>
          <w:tcPr>
            <w:tcW w:w="2752" w:type="dxa"/>
            <w:shd w:val="clear" w:color="auto" w:fill="D9D9D9" w:themeFill="background1" w:themeFillShade="D9"/>
            <w:vAlign w:val="center"/>
          </w:tcPr>
          <w:p w14:paraId="36BAA6C9" w14:textId="77777777" w:rsidR="00D311E5" w:rsidRPr="00926E0D" w:rsidRDefault="000014DA" w:rsidP="00926E0D">
            <w:pPr>
              <w:spacing w:after="0" w:line="240" w:lineRule="auto"/>
              <w:contextualSpacing/>
              <w:rPr>
                <w:rFonts w:cs="Arial"/>
                <w:b/>
                <w:bCs/>
                <w:color w:val="000000"/>
                <w:lang w:val="en-GB"/>
              </w:rPr>
            </w:pPr>
            <w:r w:rsidRPr="00926E0D">
              <w:rPr>
                <w:rFonts w:cs="Arial"/>
                <w:b/>
                <w:bCs/>
                <w:color w:val="000000"/>
                <w:lang w:val="en-GB"/>
              </w:rPr>
              <w:t>Teaching plan</w:t>
            </w:r>
            <w:r w:rsidR="00D311E5" w:rsidRPr="00926E0D">
              <w:rPr>
                <w:rFonts w:cs="Arial"/>
                <w:b/>
                <w:bCs/>
                <w:color w:val="000000"/>
                <w:lang w:val="en-GB"/>
              </w:rPr>
              <w:t xml:space="preserve"> </w:t>
            </w:r>
          </w:p>
          <w:p w14:paraId="319D4A28" w14:textId="77777777" w:rsidR="00D311E5" w:rsidRPr="00926E0D" w:rsidRDefault="00D311E5" w:rsidP="00926E0D">
            <w:pPr>
              <w:spacing w:after="0" w:line="240" w:lineRule="auto"/>
              <w:contextualSpacing/>
              <w:rPr>
                <w:rFonts w:cs="Arial"/>
                <w:b/>
                <w:bCs/>
                <w:color w:val="000000"/>
                <w:lang w:val="en-GB"/>
              </w:rPr>
            </w:pPr>
            <w:r w:rsidRPr="00926E0D">
              <w:rPr>
                <w:rFonts w:cs="Arial"/>
                <w:b/>
                <w:bCs/>
                <w:color w:val="000000"/>
                <w:lang w:val="en-GB"/>
              </w:rPr>
              <w:t>(</w:t>
            </w:r>
            <w:r w:rsidR="008471DE" w:rsidRPr="00926E0D">
              <w:rPr>
                <w:rFonts w:cs="Arial"/>
                <w:b/>
                <w:bCs/>
                <w:color w:val="000000"/>
                <w:lang w:val="en-GB"/>
              </w:rPr>
              <w:t>L</w:t>
            </w:r>
            <w:r w:rsidRPr="00926E0D">
              <w:rPr>
                <w:rFonts w:cs="Arial"/>
                <w:b/>
                <w:bCs/>
                <w:color w:val="000000"/>
                <w:lang w:val="en-GB"/>
              </w:rPr>
              <w:t xml:space="preserve"> + </w:t>
            </w:r>
            <w:r w:rsidR="008471DE" w:rsidRPr="00926E0D">
              <w:rPr>
                <w:rFonts w:cs="Arial"/>
                <w:b/>
                <w:bCs/>
                <w:color w:val="000000"/>
                <w:lang w:val="en-GB"/>
              </w:rPr>
              <w:t>E</w:t>
            </w:r>
            <w:r w:rsidRPr="00926E0D">
              <w:rPr>
                <w:rFonts w:cs="Arial"/>
                <w:b/>
                <w:bCs/>
                <w:color w:val="000000"/>
                <w:lang w:val="en-GB"/>
              </w:rPr>
              <w:t xml:space="preserve"> + S+ </w:t>
            </w:r>
            <w:proofErr w:type="spellStart"/>
            <w:r w:rsidRPr="00926E0D">
              <w:rPr>
                <w:rFonts w:cs="Arial"/>
                <w:b/>
                <w:bCs/>
                <w:color w:val="000000"/>
                <w:lang w:val="en-GB"/>
              </w:rPr>
              <w:t>Pr</w:t>
            </w:r>
            <w:proofErr w:type="spellEnd"/>
            <w:r w:rsidRPr="00926E0D">
              <w:rPr>
                <w:rFonts w:cs="Arial"/>
                <w:b/>
                <w:bCs/>
                <w:color w:val="000000"/>
                <w:lang w:val="en-GB"/>
              </w:rPr>
              <w:t>)</w:t>
            </w:r>
          </w:p>
        </w:tc>
        <w:tc>
          <w:tcPr>
            <w:tcW w:w="6336" w:type="dxa"/>
            <w:gridSpan w:val="5"/>
            <w:vAlign w:val="center"/>
          </w:tcPr>
          <w:p w14:paraId="7A32B1E6" w14:textId="1D946352" w:rsidR="00D311E5" w:rsidRPr="00926E0D" w:rsidRDefault="00EA0750" w:rsidP="00926E0D">
            <w:pPr>
              <w:spacing w:after="0" w:line="240" w:lineRule="auto"/>
              <w:contextualSpacing/>
              <w:jc w:val="center"/>
              <w:rPr>
                <w:rFonts w:cs="Arial"/>
                <w:lang w:val="en-GB"/>
              </w:rPr>
            </w:pPr>
            <w:r w:rsidRPr="00926E0D">
              <w:rPr>
                <w:rFonts w:cs="Arial"/>
                <w:lang w:val="en-GB"/>
              </w:rPr>
              <w:t>2+2+0+0</w:t>
            </w:r>
          </w:p>
        </w:tc>
      </w:tr>
      <w:tr w:rsidR="00D311E5" w:rsidRPr="00926E0D" w14:paraId="31620874" w14:textId="77777777" w:rsidTr="00300D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760D46E4" w14:textId="77777777" w:rsidR="00D311E5" w:rsidRPr="00926E0D" w:rsidRDefault="008471DE" w:rsidP="00926E0D">
            <w:pPr>
              <w:spacing w:after="0" w:line="240" w:lineRule="auto"/>
              <w:contextualSpacing/>
              <w:rPr>
                <w:b/>
                <w:color w:val="000000"/>
                <w:lang w:val="en-GB"/>
              </w:rPr>
            </w:pPr>
            <w:r w:rsidRPr="00926E0D">
              <w:rPr>
                <w:b/>
                <w:color w:val="000000"/>
                <w:lang w:val="en-GB"/>
              </w:rPr>
              <w:t>Goals of a course</w:t>
            </w:r>
          </w:p>
          <w:p w14:paraId="76659069" w14:textId="77777777" w:rsidR="00D311E5" w:rsidRPr="00926E0D" w:rsidRDefault="00D311E5" w:rsidP="00926E0D">
            <w:pPr>
              <w:keepNext/>
              <w:spacing w:after="0" w:line="240" w:lineRule="auto"/>
              <w:contextualSpacing/>
              <w:outlineLvl w:val="2"/>
              <w:rPr>
                <w:rFonts w:cs="Arial"/>
                <w:b/>
                <w:bCs/>
                <w:color w:val="000000"/>
                <w:lang w:val="en-GB"/>
              </w:rPr>
            </w:pPr>
          </w:p>
        </w:tc>
      </w:tr>
      <w:tr w:rsidR="00D311E5" w:rsidRPr="00926E0D" w14:paraId="0C0A5150" w14:textId="77777777" w:rsidTr="00300D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18EB0ACE" w14:textId="1FFEE8B0" w:rsidR="00D311E5" w:rsidRPr="00926E0D" w:rsidRDefault="00EA0750" w:rsidP="00926E0D">
            <w:pPr>
              <w:spacing w:after="0" w:line="240" w:lineRule="auto"/>
              <w:contextualSpacing/>
              <w:jc w:val="both"/>
              <w:rPr>
                <w:lang w:val="en-GB"/>
              </w:rPr>
            </w:pPr>
            <w:r w:rsidRPr="00926E0D">
              <w:rPr>
                <w:lang w:val="en-GB"/>
              </w:rPr>
              <w:t xml:space="preserve">Introduce students to general legal concepts (legal system, organization of government, EU law and other basic legal concepts) in order to facilitate the understanding of institutes in the field of occupational safety and health, </w:t>
            </w:r>
            <w:proofErr w:type="spellStart"/>
            <w:r w:rsidRPr="00926E0D">
              <w:rPr>
                <w:lang w:val="en-GB"/>
              </w:rPr>
              <w:t>labor</w:t>
            </w:r>
            <w:proofErr w:type="spellEnd"/>
            <w:r w:rsidRPr="00926E0D">
              <w:rPr>
                <w:lang w:val="en-GB"/>
              </w:rPr>
              <w:t xml:space="preserve"> law, fire protection and environmental protection. Acquiring knowledge of basic concepts and institutes of </w:t>
            </w:r>
            <w:proofErr w:type="spellStart"/>
            <w:r w:rsidRPr="00926E0D">
              <w:rPr>
                <w:lang w:val="en-GB"/>
              </w:rPr>
              <w:t>labor</w:t>
            </w:r>
            <w:proofErr w:type="spellEnd"/>
            <w:r w:rsidRPr="00926E0D">
              <w:rPr>
                <w:lang w:val="en-GB"/>
              </w:rPr>
              <w:t xml:space="preserve"> law. Gaining knowledge of international, European and national legal sources in the field of security legislation. Introduction to the basic concepts and institutes of occupational safety and health, as well as to subjects, legal relations, responsibilities and supervision in the field of occupational safety and health, in the field of fire protection and nature protection.</w:t>
            </w:r>
          </w:p>
        </w:tc>
      </w:tr>
      <w:tr w:rsidR="00D311E5" w:rsidRPr="00926E0D" w14:paraId="658BFFA2" w14:textId="77777777" w:rsidTr="00300D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02DE20B0" w14:textId="77777777" w:rsidR="00D311E5" w:rsidRPr="00926E0D" w:rsidRDefault="008471DE" w:rsidP="00926E0D">
            <w:pPr>
              <w:spacing w:after="0" w:line="240" w:lineRule="auto"/>
              <w:contextualSpacing/>
              <w:rPr>
                <w:b/>
                <w:color w:val="000000"/>
                <w:lang w:val="en-GB"/>
              </w:rPr>
            </w:pPr>
            <w:r w:rsidRPr="00926E0D">
              <w:rPr>
                <w:b/>
                <w:color w:val="000000"/>
                <w:shd w:val="clear" w:color="auto" w:fill="D9D9D9" w:themeFill="background1" w:themeFillShade="D9"/>
                <w:lang w:val="en-GB"/>
              </w:rPr>
              <w:t xml:space="preserve">Conditions for enrolling course </w:t>
            </w:r>
          </w:p>
          <w:p w14:paraId="1E98C360" w14:textId="77777777" w:rsidR="00D311E5" w:rsidRPr="00926E0D" w:rsidRDefault="00D311E5" w:rsidP="00926E0D">
            <w:pPr>
              <w:spacing w:after="0" w:line="240" w:lineRule="auto"/>
              <w:contextualSpacing/>
              <w:rPr>
                <w:b/>
                <w:color w:val="000000"/>
                <w:lang w:val="en-GB"/>
              </w:rPr>
            </w:pPr>
          </w:p>
        </w:tc>
      </w:tr>
      <w:tr w:rsidR="00D311E5" w:rsidRPr="00926E0D" w14:paraId="55A2C028" w14:textId="77777777" w:rsidTr="00300D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46DADED1" w14:textId="6673431E" w:rsidR="00D311E5" w:rsidRPr="00926E0D" w:rsidRDefault="008C1AF1" w:rsidP="00926E0D">
            <w:pPr>
              <w:spacing w:after="0" w:line="240" w:lineRule="auto"/>
              <w:contextualSpacing/>
              <w:jc w:val="both"/>
              <w:rPr>
                <w:lang w:val="en-GB"/>
              </w:rPr>
            </w:pPr>
            <w:r w:rsidRPr="00926E0D">
              <w:rPr>
                <w:lang w:val="en-GB"/>
              </w:rPr>
              <w:t>No conditions</w:t>
            </w:r>
          </w:p>
        </w:tc>
      </w:tr>
      <w:tr w:rsidR="00D311E5" w:rsidRPr="00926E0D" w14:paraId="64918817" w14:textId="77777777" w:rsidTr="00300D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7DA6016C" w14:textId="77777777" w:rsidR="00D311E5" w:rsidRPr="00926E0D" w:rsidRDefault="008471DE" w:rsidP="00926E0D">
            <w:pPr>
              <w:spacing w:after="0" w:line="240" w:lineRule="auto"/>
              <w:contextualSpacing/>
              <w:rPr>
                <w:rFonts w:cs="Arial"/>
                <w:b/>
                <w:bCs/>
                <w:color w:val="000000"/>
                <w:lang w:val="en-GB"/>
              </w:rPr>
            </w:pPr>
            <w:bookmarkStart w:id="1" w:name="_GoBack"/>
            <w:bookmarkEnd w:id="1"/>
            <w:r w:rsidRPr="00926E0D">
              <w:rPr>
                <w:b/>
                <w:color w:val="000000"/>
                <w:lang w:val="en-GB"/>
              </w:rPr>
              <w:t xml:space="preserve">Expected learning outcomes on a level of a course </w:t>
            </w:r>
          </w:p>
        </w:tc>
      </w:tr>
      <w:tr w:rsidR="00D311E5" w:rsidRPr="00926E0D" w14:paraId="47FEA0C2" w14:textId="77777777" w:rsidTr="00300D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2488162C" w14:textId="64ADCAE0" w:rsidR="00314589" w:rsidRPr="00926E0D" w:rsidRDefault="00314589" w:rsidP="00926E0D">
            <w:pPr>
              <w:pStyle w:val="Odlomakpopisa"/>
              <w:numPr>
                <w:ilvl w:val="0"/>
                <w:numId w:val="6"/>
              </w:numPr>
              <w:spacing w:after="0" w:line="240" w:lineRule="auto"/>
              <w:rPr>
                <w:rFonts w:ascii="Arial Narrow" w:hAnsi="Arial Narrow"/>
                <w:lang w:val="en-GB"/>
              </w:rPr>
            </w:pPr>
            <w:r w:rsidRPr="00926E0D">
              <w:rPr>
                <w:rFonts w:ascii="Arial Narrow" w:hAnsi="Arial Narrow"/>
                <w:lang w:val="en-GB"/>
              </w:rPr>
              <w:t xml:space="preserve">Distinguish general legal concepts (legal system, structure of government, EU law and other basic legal concepts). </w:t>
            </w:r>
          </w:p>
          <w:p w14:paraId="13C75D3F" w14:textId="54DE068A" w:rsidR="00314589" w:rsidRPr="00926E0D" w:rsidRDefault="00314589" w:rsidP="00926E0D">
            <w:pPr>
              <w:pStyle w:val="Odlomakpopisa"/>
              <w:numPr>
                <w:ilvl w:val="0"/>
                <w:numId w:val="6"/>
              </w:numPr>
              <w:spacing w:after="0" w:line="240" w:lineRule="auto"/>
              <w:rPr>
                <w:rFonts w:ascii="Arial Narrow" w:hAnsi="Arial Narrow"/>
                <w:lang w:val="en-GB"/>
              </w:rPr>
            </w:pPr>
            <w:r w:rsidRPr="00926E0D">
              <w:rPr>
                <w:rFonts w:ascii="Arial Narrow" w:hAnsi="Arial Narrow"/>
                <w:lang w:val="en-GB"/>
              </w:rPr>
              <w:t xml:space="preserve">Define the basic terms and concepts of labour law. </w:t>
            </w:r>
          </w:p>
          <w:p w14:paraId="6250E365" w14:textId="06AA7884" w:rsidR="00314589" w:rsidRPr="00926E0D" w:rsidRDefault="00314589" w:rsidP="00926E0D">
            <w:pPr>
              <w:pStyle w:val="Odlomakpopisa"/>
              <w:numPr>
                <w:ilvl w:val="0"/>
                <w:numId w:val="6"/>
              </w:numPr>
              <w:spacing w:after="0" w:line="240" w:lineRule="auto"/>
              <w:rPr>
                <w:rFonts w:ascii="Arial Narrow" w:hAnsi="Arial Narrow"/>
                <w:lang w:val="en-GB"/>
              </w:rPr>
            </w:pPr>
            <w:r w:rsidRPr="00926E0D">
              <w:rPr>
                <w:rFonts w:ascii="Arial Narrow" w:hAnsi="Arial Narrow"/>
                <w:lang w:val="en-GB"/>
              </w:rPr>
              <w:t xml:space="preserve">Distinguish sources of law and describe the basic concepts, categories and institutes of occupational health and safety. </w:t>
            </w:r>
          </w:p>
          <w:p w14:paraId="54308BA8" w14:textId="21AD0BCD" w:rsidR="00314589" w:rsidRPr="00926E0D" w:rsidRDefault="00314589" w:rsidP="00926E0D">
            <w:pPr>
              <w:pStyle w:val="Odlomakpopisa"/>
              <w:numPr>
                <w:ilvl w:val="0"/>
                <w:numId w:val="6"/>
              </w:numPr>
              <w:spacing w:after="0" w:line="240" w:lineRule="auto"/>
              <w:rPr>
                <w:rFonts w:ascii="Arial Narrow" w:hAnsi="Arial Narrow"/>
                <w:lang w:val="en-GB"/>
              </w:rPr>
            </w:pPr>
            <w:r w:rsidRPr="00926E0D">
              <w:rPr>
                <w:rFonts w:ascii="Arial Narrow" w:hAnsi="Arial Narrow"/>
                <w:lang w:val="en-GB"/>
              </w:rPr>
              <w:t xml:space="preserve">Define entities, legal relationships, responsibilities and control in the field of occupational health and safety. </w:t>
            </w:r>
          </w:p>
          <w:p w14:paraId="6643897E" w14:textId="4F483F31" w:rsidR="00B04715" w:rsidRPr="00926E0D" w:rsidRDefault="00314589" w:rsidP="00926E0D">
            <w:pPr>
              <w:pStyle w:val="Odlomakpopisa"/>
              <w:numPr>
                <w:ilvl w:val="0"/>
                <w:numId w:val="6"/>
              </w:numPr>
              <w:spacing w:after="0" w:line="240" w:lineRule="auto"/>
              <w:rPr>
                <w:rFonts w:ascii="Arial Narrow" w:hAnsi="Arial Narrow"/>
                <w:lang w:val="en-GB"/>
              </w:rPr>
            </w:pPr>
            <w:r w:rsidRPr="00926E0D">
              <w:rPr>
                <w:rFonts w:ascii="Arial Narrow" w:hAnsi="Arial Narrow"/>
                <w:lang w:val="en-GB"/>
              </w:rPr>
              <w:t>Define legal sources, entities, terms, institutes and relationships in fire protection and nature protection.</w:t>
            </w:r>
          </w:p>
        </w:tc>
      </w:tr>
      <w:tr w:rsidR="00B04715" w:rsidRPr="00926E0D" w14:paraId="13BDE43E" w14:textId="77777777" w:rsidTr="00300D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shd w:val="clear" w:color="auto" w:fill="D9D9D9" w:themeFill="background1" w:themeFillShade="D9"/>
            <w:vAlign w:val="center"/>
          </w:tcPr>
          <w:p w14:paraId="0E6A013B" w14:textId="77777777" w:rsidR="00B04715" w:rsidRPr="00926E0D" w:rsidRDefault="008471DE" w:rsidP="00926E0D">
            <w:pPr>
              <w:spacing w:after="0" w:line="240" w:lineRule="auto"/>
              <w:contextualSpacing/>
              <w:jc w:val="both"/>
              <w:rPr>
                <w:b/>
                <w:color w:val="000000"/>
                <w:lang w:val="en-GB"/>
              </w:rPr>
            </w:pPr>
            <w:r w:rsidRPr="00926E0D">
              <w:rPr>
                <w:b/>
                <w:color w:val="000000"/>
                <w:lang w:val="en-GB"/>
              </w:rPr>
              <w:t>Content of a course</w:t>
            </w:r>
          </w:p>
        </w:tc>
      </w:tr>
      <w:tr w:rsidR="00B04715" w:rsidRPr="00926E0D" w14:paraId="025252C2" w14:textId="77777777" w:rsidTr="00300D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08460C4B" w14:textId="704CAFCC" w:rsidR="00B04715" w:rsidRPr="00926E0D" w:rsidRDefault="00A8720D" w:rsidP="00926E0D">
            <w:pPr>
              <w:spacing w:after="0" w:line="240" w:lineRule="auto"/>
              <w:contextualSpacing/>
              <w:jc w:val="both"/>
              <w:rPr>
                <w:color w:val="auto"/>
                <w:lang w:val="en-GB"/>
              </w:rPr>
            </w:pPr>
            <w:r w:rsidRPr="00926E0D">
              <w:rPr>
                <w:color w:val="auto"/>
                <w:lang w:val="en-GB"/>
              </w:rPr>
              <w:t>Introduction in law: legal notions, categories, institutes and legal relationships in the field of the protection at work, protection of the nature and other relationships regulated by the legislation of safety. Human rights and freedoms. Rights on work and in connection with work. Regulations and subjects of the enactment, realization and protection of rights in constitutional, civil, criminal, commercial and labour law and law of the protection at work and protection from fire. Procedure. Control. Responsibility.</w:t>
            </w:r>
          </w:p>
        </w:tc>
      </w:tr>
      <w:tr w:rsidR="00D311E5" w:rsidRPr="00926E0D" w14:paraId="7342AB53" w14:textId="77777777" w:rsidTr="00300D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088" w:type="dxa"/>
            <w:gridSpan w:val="6"/>
            <w:tcBorders>
              <w:bottom w:val="single" w:sz="4" w:space="0" w:color="000000"/>
            </w:tcBorders>
            <w:vAlign w:val="center"/>
          </w:tcPr>
          <w:p w14:paraId="2B3D8C78" w14:textId="77777777" w:rsidR="00D311E5" w:rsidRPr="00926E0D" w:rsidRDefault="00D311E5" w:rsidP="00926E0D">
            <w:pPr>
              <w:spacing w:after="0" w:line="240" w:lineRule="auto"/>
              <w:contextualSpacing/>
              <w:jc w:val="both"/>
              <w:rPr>
                <w:b/>
                <w:vanish/>
                <w:lang w:val="en-GB"/>
              </w:rPr>
            </w:pPr>
          </w:p>
        </w:tc>
      </w:tr>
      <w:bookmarkEnd w:id="0"/>
    </w:tbl>
    <w:p w14:paraId="77EF6C2C" w14:textId="77777777" w:rsidR="00D311E5" w:rsidRPr="00926E0D" w:rsidRDefault="00D311E5" w:rsidP="006F38E0">
      <w:pPr>
        <w:spacing w:after="0" w:line="240" w:lineRule="auto"/>
        <w:contextualSpacing/>
        <w:rPr>
          <w:rFonts w:cs="Arial"/>
          <w:lang w:val="en-GB"/>
        </w:rPr>
      </w:pPr>
    </w:p>
    <w:sectPr w:rsidR="00D311E5" w:rsidRPr="00926E0D" w:rsidSect="006F38E0">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56331FE"/>
    <w:multiLevelType w:val="hybridMultilevel"/>
    <w:tmpl w:val="55D67C6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18A144D"/>
    <w:multiLevelType w:val="hybridMultilevel"/>
    <w:tmpl w:val="F21A855A"/>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44331476"/>
    <w:multiLevelType w:val="hybridMultilevel"/>
    <w:tmpl w:val="4B58043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50534772"/>
    <w:multiLevelType w:val="hybridMultilevel"/>
    <w:tmpl w:val="45926FEC"/>
    <w:lvl w:ilvl="0" w:tplc="0A98C750">
      <w:start w:val="1"/>
      <w:numFmt w:val="bullet"/>
      <w:lvlText w:val=""/>
      <w:lvlJc w:val="left"/>
      <w:pPr>
        <w:ind w:left="1034" w:hanging="360"/>
      </w:pPr>
      <w:rPr>
        <w:rFonts w:ascii="Wingdings" w:hAnsi="Wingdings" w:hint="default"/>
      </w:rPr>
    </w:lvl>
    <w:lvl w:ilvl="1" w:tplc="041A0003" w:tentative="1">
      <w:start w:val="1"/>
      <w:numFmt w:val="bullet"/>
      <w:lvlText w:val="o"/>
      <w:lvlJc w:val="left"/>
      <w:pPr>
        <w:ind w:left="1754" w:hanging="360"/>
      </w:pPr>
      <w:rPr>
        <w:rFonts w:ascii="Courier New" w:hAnsi="Courier New" w:cs="Courier New" w:hint="default"/>
      </w:rPr>
    </w:lvl>
    <w:lvl w:ilvl="2" w:tplc="041A0005" w:tentative="1">
      <w:start w:val="1"/>
      <w:numFmt w:val="bullet"/>
      <w:lvlText w:val=""/>
      <w:lvlJc w:val="left"/>
      <w:pPr>
        <w:ind w:left="2474" w:hanging="360"/>
      </w:pPr>
      <w:rPr>
        <w:rFonts w:ascii="Wingdings" w:hAnsi="Wingdings" w:hint="default"/>
      </w:rPr>
    </w:lvl>
    <w:lvl w:ilvl="3" w:tplc="041A0001" w:tentative="1">
      <w:start w:val="1"/>
      <w:numFmt w:val="bullet"/>
      <w:lvlText w:val=""/>
      <w:lvlJc w:val="left"/>
      <w:pPr>
        <w:ind w:left="3194" w:hanging="360"/>
      </w:pPr>
      <w:rPr>
        <w:rFonts w:ascii="Symbol" w:hAnsi="Symbol" w:hint="default"/>
      </w:rPr>
    </w:lvl>
    <w:lvl w:ilvl="4" w:tplc="041A0003" w:tentative="1">
      <w:start w:val="1"/>
      <w:numFmt w:val="bullet"/>
      <w:lvlText w:val="o"/>
      <w:lvlJc w:val="left"/>
      <w:pPr>
        <w:ind w:left="3914" w:hanging="360"/>
      </w:pPr>
      <w:rPr>
        <w:rFonts w:ascii="Courier New" w:hAnsi="Courier New" w:cs="Courier New" w:hint="default"/>
      </w:rPr>
    </w:lvl>
    <w:lvl w:ilvl="5" w:tplc="041A0005" w:tentative="1">
      <w:start w:val="1"/>
      <w:numFmt w:val="bullet"/>
      <w:lvlText w:val=""/>
      <w:lvlJc w:val="left"/>
      <w:pPr>
        <w:ind w:left="4634" w:hanging="360"/>
      </w:pPr>
      <w:rPr>
        <w:rFonts w:ascii="Wingdings" w:hAnsi="Wingdings" w:hint="default"/>
      </w:rPr>
    </w:lvl>
    <w:lvl w:ilvl="6" w:tplc="041A0001" w:tentative="1">
      <w:start w:val="1"/>
      <w:numFmt w:val="bullet"/>
      <w:lvlText w:val=""/>
      <w:lvlJc w:val="left"/>
      <w:pPr>
        <w:ind w:left="5354" w:hanging="360"/>
      </w:pPr>
      <w:rPr>
        <w:rFonts w:ascii="Symbol" w:hAnsi="Symbol" w:hint="default"/>
      </w:rPr>
    </w:lvl>
    <w:lvl w:ilvl="7" w:tplc="041A0003" w:tentative="1">
      <w:start w:val="1"/>
      <w:numFmt w:val="bullet"/>
      <w:lvlText w:val="o"/>
      <w:lvlJc w:val="left"/>
      <w:pPr>
        <w:ind w:left="6074" w:hanging="360"/>
      </w:pPr>
      <w:rPr>
        <w:rFonts w:ascii="Courier New" w:hAnsi="Courier New" w:cs="Courier New" w:hint="default"/>
      </w:rPr>
    </w:lvl>
    <w:lvl w:ilvl="8" w:tplc="041A0005" w:tentative="1">
      <w:start w:val="1"/>
      <w:numFmt w:val="bullet"/>
      <w:lvlText w:val=""/>
      <w:lvlJc w:val="left"/>
      <w:pPr>
        <w:ind w:left="6794" w:hanging="360"/>
      </w:pPr>
      <w:rPr>
        <w:rFonts w:ascii="Wingdings" w:hAnsi="Wingdings" w:hint="default"/>
      </w:rPr>
    </w:lvl>
  </w:abstractNum>
  <w:abstractNum w:abstractNumId="8" w15:restartNumberingAfterBreak="0">
    <w:nsid w:val="64B53366"/>
    <w:multiLevelType w:val="hybridMultilevel"/>
    <w:tmpl w:val="FF4A4B3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F0E2A2C"/>
    <w:multiLevelType w:val="hybridMultilevel"/>
    <w:tmpl w:val="0C684F5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721B398F"/>
    <w:multiLevelType w:val="hybridMultilevel"/>
    <w:tmpl w:val="00D42ED2"/>
    <w:lvl w:ilvl="0" w:tplc="0A98C75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11"/>
  </w:num>
  <w:num w:numId="3">
    <w:abstractNumId w:val="4"/>
  </w:num>
  <w:num w:numId="4">
    <w:abstractNumId w:val="1"/>
  </w:num>
  <w:num w:numId="5">
    <w:abstractNumId w:val="3"/>
  </w:num>
  <w:num w:numId="6">
    <w:abstractNumId w:val="6"/>
  </w:num>
  <w:num w:numId="7">
    <w:abstractNumId w:val="10"/>
  </w:num>
  <w:num w:numId="8">
    <w:abstractNumId w:val="5"/>
  </w:num>
  <w:num w:numId="9">
    <w:abstractNumId w:val="7"/>
  </w:num>
  <w:num w:numId="10">
    <w:abstractNumId w:val="9"/>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267215"/>
    <w:rsid w:val="002C62EA"/>
    <w:rsid w:val="002F1C45"/>
    <w:rsid w:val="00300D71"/>
    <w:rsid w:val="00314589"/>
    <w:rsid w:val="003B36B0"/>
    <w:rsid w:val="003F6600"/>
    <w:rsid w:val="00432F02"/>
    <w:rsid w:val="004454D4"/>
    <w:rsid w:val="00450042"/>
    <w:rsid w:val="004610E9"/>
    <w:rsid w:val="00484C95"/>
    <w:rsid w:val="00487CC9"/>
    <w:rsid w:val="004E2EBE"/>
    <w:rsid w:val="00507BDA"/>
    <w:rsid w:val="00523D4B"/>
    <w:rsid w:val="00534C3F"/>
    <w:rsid w:val="00552644"/>
    <w:rsid w:val="0063083E"/>
    <w:rsid w:val="00642278"/>
    <w:rsid w:val="0067459B"/>
    <w:rsid w:val="0068337C"/>
    <w:rsid w:val="00683D0A"/>
    <w:rsid w:val="006850C8"/>
    <w:rsid w:val="0069683E"/>
    <w:rsid w:val="006A446B"/>
    <w:rsid w:val="006B6940"/>
    <w:rsid w:val="006C7B77"/>
    <w:rsid w:val="006F38E0"/>
    <w:rsid w:val="007402B4"/>
    <w:rsid w:val="00773DB3"/>
    <w:rsid w:val="007C4451"/>
    <w:rsid w:val="007E29CD"/>
    <w:rsid w:val="007E41B1"/>
    <w:rsid w:val="0081389E"/>
    <w:rsid w:val="008471DE"/>
    <w:rsid w:val="008C1AF1"/>
    <w:rsid w:val="00926E0D"/>
    <w:rsid w:val="0093599C"/>
    <w:rsid w:val="00950737"/>
    <w:rsid w:val="00982CB5"/>
    <w:rsid w:val="00995007"/>
    <w:rsid w:val="009C73D5"/>
    <w:rsid w:val="009D5034"/>
    <w:rsid w:val="009E1815"/>
    <w:rsid w:val="00A05989"/>
    <w:rsid w:val="00A22E3C"/>
    <w:rsid w:val="00A8720D"/>
    <w:rsid w:val="00AA069B"/>
    <w:rsid w:val="00AB014C"/>
    <w:rsid w:val="00AE2D6B"/>
    <w:rsid w:val="00B04715"/>
    <w:rsid w:val="00B30DFF"/>
    <w:rsid w:val="00B803A8"/>
    <w:rsid w:val="00B829BC"/>
    <w:rsid w:val="00BB21FE"/>
    <w:rsid w:val="00C10132"/>
    <w:rsid w:val="00C357BB"/>
    <w:rsid w:val="00C815C5"/>
    <w:rsid w:val="00C85F06"/>
    <w:rsid w:val="00CA3626"/>
    <w:rsid w:val="00CB1E7C"/>
    <w:rsid w:val="00CC02D5"/>
    <w:rsid w:val="00CD1536"/>
    <w:rsid w:val="00D14A1B"/>
    <w:rsid w:val="00D311E5"/>
    <w:rsid w:val="00D333A3"/>
    <w:rsid w:val="00D5181D"/>
    <w:rsid w:val="00D6065E"/>
    <w:rsid w:val="00D60E76"/>
    <w:rsid w:val="00D85FF9"/>
    <w:rsid w:val="00D973F3"/>
    <w:rsid w:val="00DE6421"/>
    <w:rsid w:val="00DF70B1"/>
    <w:rsid w:val="00E873F0"/>
    <w:rsid w:val="00E93806"/>
    <w:rsid w:val="00EA0750"/>
    <w:rsid w:val="00EB7594"/>
    <w:rsid w:val="00EC0521"/>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BBB7F12A-C78A-4FC1-AEE8-1599BAA58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paragraph" w:styleId="Tijeloteksta3">
    <w:name w:val="Body Text 3"/>
    <w:basedOn w:val="Normal"/>
    <w:link w:val="Tijeloteksta3Char"/>
    <w:rsid w:val="00EA0750"/>
    <w:pPr>
      <w:spacing w:after="0" w:line="240" w:lineRule="auto"/>
    </w:pPr>
    <w:rPr>
      <w:rFonts w:ascii="Arial" w:eastAsia="Times New Roman" w:hAnsi="Arial" w:cs="Arial"/>
      <w:color w:val="auto"/>
      <w:sz w:val="24"/>
      <w:szCs w:val="16"/>
      <w:lang w:val="en-AU" w:eastAsia="en-US"/>
    </w:rPr>
  </w:style>
  <w:style w:type="character" w:customStyle="1" w:styleId="Tijeloteksta3Char">
    <w:name w:val="Tijelo teksta 3 Char"/>
    <w:basedOn w:val="Zadanifontodlomka"/>
    <w:link w:val="Tijeloteksta3"/>
    <w:rsid w:val="00EA0750"/>
    <w:rPr>
      <w:rFonts w:ascii="Arial" w:eastAsia="Times New Roman" w:hAnsi="Arial" w:cs="Arial"/>
      <w:color w:val="auto"/>
      <w:sz w:val="24"/>
      <w:szCs w:val="16"/>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EE3018-F207-4C97-AD63-B7E1954CDDA0}"/>
</file>

<file path=customXml/itemProps2.xml><?xml version="1.0" encoding="utf-8"?>
<ds:datastoreItem xmlns:ds="http://schemas.openxmlformats.org/officeDocument/2006/customXml" ds:itemID="{C35DDDFF-8DC1-4D32-9743-EE72ACBBBE94}">
  <ds:schemaRefs>
    <ds:schemaRef ds:uri="http://schemas.microsoft.com/office/2006/documentManagement/types"/>
    <ds:schemaRef ds:uri="http://purl.org/dc/dcmitype/"/>
    <ds:schemaRef ds:uri="http://purl.org/dc/terms/"/>
    <ds:schemaRef ds:uri="http://schemas.openxmlformats.org/package/2006/metadata/core-properties"/>
    <ds:schemaRef ds:uri="http://schemas.microsoft.com/office/infopath/2007/PartnerControls"/>
    <ds:schemaRef ds:uri="3dc5e60c-87d7-439e-97ee-8ba1bf8387d0"/>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328</Words>
  <Characters>1875</Characters>
  <Application>Microsoft Office Word</Application>
  <DocSecurity>0</DocSecurity>
  <Lines>15</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5</cp:revision>
  <dcterms:created xsi:type="dcterms:W3CDTF">2020-02-28T23:14:00Z</dcterms:created>
  <dcterms:modified xsi:type="dcterms:W3CDTF">2022-07-21T11:15:00Z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